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9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850070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  <w:textDirection w:val="btLr"/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PODATKI I RACHUNKOWOŚĆ W ADMINISTRACJI</w:t>
            </w:r>
          </w:p>
        </w:tc>
        <w:tc>
          <w:tcPr>
            <w:tcW w:w="316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850070">
        <w:trPr>
          <w:cantSplit/>
        </w:trPr>
        <w:tc>
          <w:tcPr>
            <w:tcW w:w="49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  <w:textDirection w:val="btLr"/>
          </w:tcPr>
          <w:p w:rsidR="00850070" w:rsidRDefault="00850070">
            <w:pPr>
              <w:rPr>
                <w:sz w:val="22"/>
                <w:szCs w:val="22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850070" w:rsidRDefault="004757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PRZESTĘPCZOŚĆ PODATKOWA I OSZUSTWA FINANSOWE</w:t>
            </w:r>
          </w:p>
        </w:tc>
        <w:tc>
          <w:tcPr>
            <w:tcW w:w="3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40</w:t>
            </w:r>
          </w:p>
        </w:tc>
      </w:tr>
      <w:tr w:rsidR="00850070">
        <w:trPr>
          <w:cantSplit/>
        </w:trPr>
        <w:tc>
          <w:tcPr>
            <w:tcW w:w="49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rPr>
                <w:sz w:val="22"/>
                <w:szCs w:val="22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850070">
        <w:trPr>
          <w:cantSplit/>
        </w:trPr>
        <w:tc>
          <w:tcPr>
            <w:tcW w:w="49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rPr>
                <w:sz w:val="22"/>
                <w:szCs w:val="22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850070">
        <w:trPr>
          <w:cantSplit/>
        </w:trPr>
        <w:tc>
          <w:tcPr>
            <w:tcW w:w="49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850070">
        <w:trPr>
          <w:cantSplit/>
        </w:trPr>
        <w:tc>
          <w:tcPr>
            <w:tcW w:w="49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850070" w:rsidRDefault="004757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850070" w:rsidRDefault="004757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850070">
        <w:trPr>
          <w:cantSplit/>
        </w:trPr>
        <w:tc>
          <w:tcPr>
            <w:tcW w:w="49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850070">
        <w:trPr>
          <w:cantSplit/>
        </w:trPr>
        <w:tc>
          <w:tcPr>
            <w:tcW w:w="497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>
            <w:pPr>
              <w:jc w:val="center"/>
              <w:rPr>
                <w:sz w:val="22"/>
                <w:szCs w:val="22"/>
              </w:rPr>
            </w:pPr>
          </w:p>
        </w:tc>
      </w:tr>
    </w:tbl>
    <w:p w:rsidR="00850070" w:rsidRDefault="00850070">
      <w:pPr>
        <w:rPr>
          <w:sz w:val="22"/>
          <w:szCs w:val="22"/>
        </w:rPr>
      </w:pPr>
    </w:p>
    <w:tbl>
      <w:tblPr>
        <w:tblW w:w="10009" w:type="dxa"/>
        <w:tblInd w:w="-9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2988"/>
        <w:gridCol w:w="7021"/>
      </w:tblGrid>
      <w:tr w:rsidR="00850070">
        <w:tc>
          <w:tcPr>
            <w:tcW w:w="298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mgr Marcin Grabowski</w:t>
            </w:r>
          </w:p>
        </w:tc>
      </w:tr>
      <w:tr w:rsidR="00850070">
        <w:tc>
          <w:tcPr>
            <w:tcW w:w="298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mgr Marcin Grabowski</w:t>
            </w:r>
          </w:p>
        </w:tc>
      </w:tr>
      <w:tr w:rsidR="00850070">
        <w:tc>
          <w:tcPr>
            <w:tcW w:w="298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 w:rsidP="00475743">
            <w:pPr>
              <w:jc w:val="both"/>
            </w:pPr>
            <w:r>
              <w:rPr>
                <w:sz w:val="22"/>
                <w:szCs w:val="22"/>
              </w:rPr>
              <w:t xml:space="preserve">Zapoznanie studentów z podstawowymi aspektami dotyczącymi przestępczości podatkowej oraz oszustwami, rozmiarami tej przestępczości, podstawowymi mechanizmami i sposobem działania sprawców w celu poznania metod, sposobów przeciwdziałania i  wykrywania przestępstw podatkowych oraz oszust. </w:t>
            </w:r>
            <w:r>
              <w:t xml:space="preserve"> </w:t>
            </w:r>
          </w:p>
        </w:tc>
      </w:tr>
      <w:tr w:rsidR="00850070">
        <w:tc>
          <w:tcPr>
            <w:tcW w:w="298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Podstawa prawa w zakresie prawa karnego, prawa karno – skarbowego, prawa wykroczeń </w:t>
            </w:r>
          </w:p>
        </w:tc>
      </w:tr>
    </w:tbl>
    <w:p w:rsidR="00850070" w:rsidRDefault="00850070">
      <w:pPr>
        <w:rPr>
          <w:sz w:val="22"/>
          <w:szCs w:val="22"/>
        </w:rPr>
      </w:pPr>
    </w:p>
    <w:tbl>
      <w:tblPr>
        <w:tblW w:w="10008" w:type="dxa"/>
        <w:tblInd w:w="-97" w:type="dxa"/>
        <w:tblBorders>
          <w:top w:val="single" w:sz="12" w:space="0" w:color="00000A"/>
          <w:left w:val="single" w:sz="12" w:space="0" w:color="00000A"/>
          <w:right w:val="single" w:sz="4" w:space="0" w:color="00000A"/>
          <w:insideV w:val="single" w:sz="4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1096"/>
        <w:gridCol w:w="7371"/>
        <w:gridCol w:w="1541"/>
      </w:tblGrid>
      <w:tr w:rsidR="00850070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850070">
        <w:trPr>
          <w:cantSplit/>
        </w:trPr>
        <w:tc>
          <w:tcPr>
            <w:tcW w:w="1096" w:type="dxa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4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50070">
        <w:trPr>
          <w:cantSplit/>
        </w:trPr>
        <w:tc>
          <w:tcPr>
            <w:tcW w:w="846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>
            <w:pPr>
              <w:rPr>
                <w:sz w:val="22"/>
                <w:szCs w:val="22"/>
              </w:rPr>
            </w:pPr>
          </w:p>
        </w:tc>
      </w:tr>
      <w:tr w:rsidR="0085007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 w:rsidP="004560EB">
            <w:pPr>
              <w:jc w:val="both"/>
            </w:pPr>
            <w:r>
              <w:rPr>
                <w:sz w:val="22"/>
                <w:szCs w:val="22"/>
              </w:rPr>
              <w:t>Student przedstawia problematykę  teoretyczno – prawną w zakresie stanowienia, obowiązywania i stosowania prawa podatkowego i oszustw finansowych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 w:rsidP="004560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85007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 w:rsidP="004560EB">
            <w:pPr>
              <w:jc w:val="both"/>
            </w:pPr>
            <w:r>
              <w:rPr>
                <w:sz w:val="22"/>
                <w:szCs w:val="22"/>
              </w:rPr>
              <w:t>Student odtwarza wiedzę z zakresie uporządkowanych procedur właściwych działaniu zwalczania przestępczości podatkowej i oszustw finansowych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 w:rsidP="004560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  <w:p w:rsidR="00850070" w:rsidRDefault="00850070" w:rsidP="004560EB">
            <w:pPr>
              <w:jc w:val="both"/>
              <w:rPr>
                <w:sz w:val="22"/>
                <w:szCs w:val="22"/>
              </w:rPr>
            </w:pPr>
          </w:p>
        </w:tc>
      </w:tr>
      <w:tr w:rsidR="0085007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 w:rsidP="004560EB">
            <w:pPr>
              <w:jc w:val="both"/>
            </w:pPr>
            <w:r>
              <w:rPr>
                <w:sz w:val="22"/>
                <w:szCs w:val="22"/>
              </w:rPr>
              <w:t>Student posiada wiedzę z zasad polskiego prawa karnego i zasad prawa wykroczeń oraz pojęć z zakresu przestępstw podatkowych oraz oszustw finansowych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 w:rsidP="004560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850070">
        <w:trPr>
          <w:cantSplit/>
        </w:trPr>
        <w:tc>
          <w:tcPr>
            <w:tcW w:w="846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 w:rsidP="004560EB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 w:rsidP="004560EB">
            <w:pPr>
              <w:jc w:val="both"/>
              <w:rPr>
                <w:sz w:val="22"/>
                <w:szCs w:val="22"/>
              </w:rPr>
            </w:pPr>
          </w:p>
        </w:tc>
      </w:tr>
      <w:tr w:rsidR="0085007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 w:rsidP="004560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stosować terminologię z zakresu przestępczości podatkowej oraz oszustw finansowych w praktyce oraz rozpoznawać jej modele 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 w:rsidP="004560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</w:tc>
      </w:tr>
      <w:tr w:rsidR="0085007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 w:rsidP="004560EB">
            <w:pPr>
              <w:jc w:val="both"/>
            </w:pPr>
            <w:r>
              <w:rPr>
                <w:sz w:val="22"/>
                <w:szCs w:val="22"/>
              </w:rPr>
              <w:t>Student dobiera przepisy prawne możliwe do zastosowania w określonej sytuacji w zależności od rodzaju przestępstwa podatkowego i oszustwa finansowego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 w:rsidP="004560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85007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t>06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 w:rsidP="004560EB">
            <w:pPr>
              <w:jc w:val="both"/>
            </w:pPr>
            <w:r>
              <w:rPr>
                <w:sz w:val="22"/>
                <w:szCs w:val="22"/>
              </w:rPr>
              <w:t>Student potrafi wyjaśnić zasady i obszary działania instytucji publicznych i projektować proces zarządzania w instytucjach zajmujących się zwalczaniem przestępczość podatkowej oraz oszustw finansowych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 w:rsidP="004560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85007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t>07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 w:rsidP="004560EB">
            <w:pPr>
              <w:jc w:val="both"/>
            </w:pPr>
            <w:r>
              <w:rPr>
                <w:sz w:val="22"/>
                <w:szCs w:val="22"/>
              </w:rPr>
              <w:t>Student dokonuje analizy i oceny przyczynowo – skutkowej procesów związanych z podejmowanymi decyzjami w zakresie przestępczości podatkowej i oszustw finansowych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 w:rsidP="004560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850070">
        <w:trPr>
          <w:cantSplit/>
        </w:trPr>
        <w:tc>
          <w:tcPr>
            <w:tcW w:w="846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 w:rsidP="004560E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 w:rsidP="004560EB">
            <w:pPr>
              <w:jc w:val="both"/>
              <w:rPr>
                <w:sz w:val="22"/>
                <w:szCs w:val="22"/>
              </w:rPr>
            </w:pPr>
          </w:p>
        </w:tc>
      </w:tr>
      <w:tr w:rsidR="0085007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Default="00475743" w:rsidP="004560EB">
            <w:pPr>
              <w:jc w:val="both"/>
            </w:pPr>
            <w:r>
              <w:rPr>
                <w:sz w:val="24"/>
                <w:szCs w:val="24"/>
              </w:rPr>
              <w:t>Student bierze odpowiedzialność za powierzone mu zadania i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potrafi określać priorytety służące realizacji tych zadań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 w:rsidP="004560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850070" w:rsidRDefault="00850070">
      <w:pPr>
        <w:rPr>
          <w:sz w:val="22"/>
          <w:szCs w:val="22"/>
        </w:rPr>
      </w:pPr>
    </w:p>
    <w:p w:rsidR="00850070" w:rsidRDefault="00850070">
      <w:pPr>
        <w:rPr>
          <w:sz w:val="22"/>
          <w:szCs w:val="22"/>
        </w:rPr>
      </w:pPr>
    </w:p>
    <w:p w:rsidR="00850070" w:rsidRDefault="00850070">
      <w:pPr>
        <w:rPr>
          <w:sz w:val="22"/>
          <w:szCs w:val="22"/>
        </w:rPr>
      </w:pPr>
    </w:p>
    <w:p w:rsidR="00850070" w:rsidRDefault="00850070">
      <w:pPr>
        <w:rPr>
          <w:sz w:val="22"/>
          <w:szCs w:val="22"/>
        </w:rPr>
      </w:pPr>
    </w:p>
    <w:tbl>
      <w:tblPr>
        <w:tblW w:w="10008" w:type="dxa"/>
        <w:tblInd w:w="-97" w:type="dxa"/>
        <w:tblBorders>
          <w:top w:val="single" w:sz="2" w:space="0" w:color="00000A"/>
          <w:left w:val="single" w:sz="1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10008"/>
      </w:tblGrid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pct15" w:color="auto" w:fill="FFFFFF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4560EB" w:rsidRDefault="00475743">
            <w:pPr>
              <w:jc w:val="both"/>
              <w:rPr>
                <w:sz w:val="22"/>
                <w:szCs w:val="22"/>
              </w:rPr>
            </w:pPr>
            <w:r w:rsidRPr="004560EB">
              <w:rPr>
                <w:color w:val="000000"/>
                <w:sz w:val="22"/>
                <w:szCs w:val="22"/>
              </w:rPr>
              <w:t>Ogólna charakterystyka współczesnej przestępczości gospodarczej w Polsce; P</w:t>
            </w:r>
            <w:r w:rsidRPr="004560EB">
              <w:rPr>
                <w:sz w:val="22"/>
                <w:szCs w:val="22"/>
              </w:rPr>
              <w:t>ojęcie i zakres przedmiotowy przestępstwa podatkowego; Etiologia, skala i dynamika przestępczości podatkowej w Polsce; Charakterystyka i rodzaje przestępczości podatkowej; Symptomy i przyczyny rozwoju przestępczości podatkowej; Charakterystyka oszustw finansowych; Rodzaje  oszustw finansowych; Przestępczość akcyzowa; Przestępczość celna; Przestępczość w zakresie wyłudzeń VAT; Karuzele podatkowe; Przestępczość w obrocie paliwami i złomem; Wybrane aspekty z przestępczości zorganizowanej; Pranie pieniędzy.</w:t>
            </w: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pct15" w:color="auto" w:fill="FFFFFF"/>
            <w:tcMar>
              <w:left w:w="9" w:type="dxa"/>
            </w:tcMar>
          </w:tcPr>
          <w:p w:rsidR="00850070" w:rsidRPr="004560EB" w:rsidRDefault="00475743">
            <w:pPr>
              <w:rPr>
                <w:sz w:val="22"/>
                <w:szCs w:val="22"/>
              </w:rPr>
            </w:pPr>
            <w:r w:rsidRPr="004560EB">
              <w:rPr>
                <w:sz w:val="22"/>
                <w:szCs w:val="22"/>
              </w:rPr>
              <w:t>Ćwiczenia</w:t>
            </w: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4560EB" w:rsidRDefault="00475743">
            <w:pPr>
              <w:pStyle w:val="Tekstpodstawowy"/>
              <w:spacing w:line="240" w:lineRule="auto"/>
              <w:jc w:val="both"/>
              <w:rPr>
                <w:sz w:val="22"/>
                <w:szCs w:val="22"/>
              </w:rPr>
            </w:pPr>
            <w:r w:rsidRPr="004560EB">
              <w:rPr>
                <w:color w:val="000000"/>
                <w:sz w:val="22"/>
                <w:szCs w:val="22"/>
              </w:rPr>
              <w:t xml:space="preserve">Proces </w:t>
            </w:r>
            <w:proofErr w:type="spellStart"/>
            <w:r w:rsidRPr="004560EB">
              <w:rPr>
                <w:color w:val="000000"/>
                <w:sz w:val="22"/>
                <w:szCs w:val="22"/>
              </w:rPr>
              <w:t>wykrywczy</w:t>
            </w:r>
            <w:proofErr w:type="spellEnd"/>
            <w:r w:rsidRPr="004560EB">
              <w:rPr>
                <w:color w:val="000000"/>
                <w:sz w:val="22"/>
                <w:szCs w:val="22"/>
              </w:rPr>
              <w:t xml:space="preserve"> przestępstw podatkowych; Symptomy przestępstw podatkowych; Źródła informacji o przestępstwach podatkowych i metody ich uzyskiwania; Charakterystyka mechanizmów sprawczych przestępstw finansowych; Mechanizmy działalności przestępnej w zakresie wyłudzenia podatku VAT; Sposoby działania sprawców przestępstw akcyzowych; Sposoby działania sprawców przestępstw podatkowych; Metody prania pieniędzy i sposoby przeciwdziałania praniu pieniędzy; Formy i metody zwalczania przestępczości podatkowej; Formy i metody zwalczania oszust finansowych; Problematyka zwalczania przestępczości zorganizowanej; Profilaktyka i zwalczanie przestępczości podatkowej; Strategie zapobiegania przestępstwom podatkowym i oszustwom finansowym; Bezpieczeństwo finansowe. </w:t>
            </w: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pct15" w:color="auto" w:fill="FFFFFF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jc w:val="both"/>
              <w:rPr>
                <w:sz w:val="22"/>
                <w:szCs w:val="22"/>
              </w:rPr>
            </w:pP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pct15" w:color="auto" w:fill="FFFFFF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jc w:val="both"/>
              <w:rPr>
                <w:sz w:val="22"/>
                <w:szCs w:val="22"/>
              </w:rPr>
            </w:pP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jc w:val="both"/>
              <w:rPr>
                <w:sz w:val="22"/>
                <w:szCs w:val="22"/>
              </w:rPr>
            </w:pP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</w:p>
        </w:tc>
      </w:tr>
      <w:tr w:rsidR="00850070">
        <w:tc>
          <w:tcPr>
            <w:tcW w:w="10008" w:type="dxa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2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jc w:val="both"/>
              <w:rPr>
                <w:sz w:val="22"/>
                <w:szCs w:val="22"/>
              </w:rPr>
            </w:pPr>
          </w:p>
        </w:tc>
      </w:tr>
    </w:tbl>
    <w:p w:rsidR="00850070" w:rsidRDefault="00850070">
      <w:pPr>
        <w:rPr>
          <w:sz w:val="22"/>
          <w:szCs w:val="22"/>
        </w:rPr>
      </w:pPr>
    </w:p>
    <w:tbl>
      <w:tblPr>
        <w:tblW w:w="10008" w:type="dxa"/>
        <w:tblInd w:w="-9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2660"/>
        <w:gridCol w:w="7348"/>
      </w:tblGrid>
      <w:tr w:rsidR="00850070">
        <w:tc>
          <w:tcPr>
            <w:tcW w:w="2660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475743"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475743" w:rsidRDefault="00475743" w:rsidP="00475743">
            <w:pPr>
              <w:pStyle w:val="Tekstpodstawowy"/>
              <w:numPr>
                <w:ilvl w:val="0"/>
                <w:numId w:val="1"/>
              </w:numPr>
              <w:spacing w:after="90" w:line="240" w:lineRule="auto"/>
              <w:jc w:val="both"/>
              <w:rPr>
                <w:sz w:val="22"/>
                <w:szCs w:val="22"/>
              </w:rPr>
            </w:pPr>
            <w:bookmarkStart w:id="0" w:name="_GoBack"/>
            <w:r w:rsidRPr="00475743">
              <w:rPr>
                <w:color w:val="000000"/>
                <w:sz w:val="22"/>
                <w:szCs w:val="22"/>
              </w:rPr>
              <w:t xml:space="preserve">P. Łabuz, I. Malinowska, </w:t>
            </w:r>
            <w:bookmarkEnd w:id="0"/>
            <w:r w:rsidRPr="00475743">
              <w:rPr>
                <w:color w:val="000000"/>
                <w:sz w:val="22"/>
                <w:szCs w:val="22"/>
              </w:rPr>
              <w:t xml:space="preserve">M. Michalski, T. </w:t>
            </w:r>
            <w:proofErr w:type="spellStart"/>
            <w:r w:rsidRPr="00475743">
              <w:rPr>
                <w:color w:val="000000"/>
                <w:sz w:val="22"/>
                <w:szCs w:val="22"/>
              </w:rPr>
              <w:t>Safjański</w:t>
            </w:r>
            <w:proofErr w:type="spellEnd"/>
            <w:r w:rsidRPr="00475743">
              <w:rPr>
                <w:color w:val="000000"/>
                <w:sz w:val="22"/>
                <w:szCs w:val="22"/>
              </w:rPr>
              <w:t xml:space="preserve"> (red.), Przestępczość gospodarcza. Istota zjawiska. Zasady odpowiedzialności, mechanizmy przestępcze i metody działania sprawców, C.H. Beck, 2017</w:t>
            </w:r>
          </w:p>
          <w:p w:rsidR="00850070" w:rsidRPr="00475743" w:rsidRDefault="00475743" w:rsidP="00475743">
            <w:pPr>
              <w:pStyle w:val="Tekstpodstawowy"/>
              <w:numPr>
                <w:ilvl w:val="0"/>
                <w:numId w:val="1"/>
              </w:numPr>
              <w:spacing w:after="90" w:line="240" w:lineRule="auto"/>
              <w:jc w:val="both"/>
              <w:rPr>
                <w:sz w:val="22"/>
                <w:szCs w:val="22"/>
              </w:rPr>
            </w:pPr>
            <w:r w:rsidRPr="00475743">
              <w:rPr>
                <w:color w:val="000000"/>
                <w:sz w:val="22"/>
                <w:szCs w:val="22"/>
              </w:rPr>
              <w:t xml:space="preserve">O. </w:t>
            </w:r>
            <w:proofErr w:type="spellStart"/>
            <w:r w:rsidRPr="00475743">
              <w:rPr>
                <w:color w:val="000000"/>
                <w:sz w:val="22"/>
                <w:szCs w:val="22"/>
              </w:rPr>
              <w:t>Górniok</w:t>
            </w:r>
            <w:proofErr w:type="spellEnd"/>
            <w:r w:rsidRPr="00475743">
              <w:rPr>
                <w:color w:val="000000"/>
                <w:sz w:val="22"/>
                <w:szCs w:val="22"/>
              </w:rPr>
              <w:t xml:space="preserve">, Prawo karne gospodarcze. Komentarz, </w:t>
            </w:r>
            <w:proofErr w:type="spellStart"/>
            <w:r w:rsidRPr="00475743">
              <w:rPr>
                <w:color w:val="000000"/>
                <w:sz w:val="22"/>
                <w:szCs w:val="22"/>
              </w:rPr>
              <w:t>TNOiK</w:t>
            </w:r>
            <w:proofErr w:type="spellEnd"/>
            <w:r w:rsidRPr="00475743">
              <w:rPr>
                <w:color w:val="000000"/>
                <w:sz w:val="22"/>
                <w:szCs w:val="22"/>
              </w:rPr>
              <w:t>, 1997</w:t>
            </w:r>
          </w:p>
          <w:p w:rsidR="00850070" w:rsidRPr="00475743" w:rsidRDefault="00475743" w:rsidP="0047574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4560EB">
              <w:rPr>
                <w:rFonts w:ascii="Times New Roman" w:hAnsi="Times New Roman" w:cs="Times New Roman"/>
                <w:lang w:val="pl-PL"/>
              </w:rPr>
              <w:t xml:space="preserve">O. </w:t>
            </w:r>
            <w:proofErr w:type="spellStart"/>
            <w:r w:rsidRPr="004560EB">
              <w:rPr>
                <w:rFonts w:ascii="Times New Roman" w:hAnsi="Times New Roman" w:cs="Times New Roman"/>
                <w:lang w:val="pl-PL"/>
              </w:rPr>
              <w:t>Górniok</w:t>
            </w:r>
            <w:proofErr w:type="spellEnd"/>
            <w:r w:rsidRPr="004560EB">
              <w:rPr>
                <w:rFonts w:ascii="Times New Roman" w:hAnsi="Times New Roman" w:cs="Times New Roman"/>
                <w:lang w:val="pl-PL"/>
              </w:rPr>
              <w:t xml:space="preserve">, Przestępczość Gospodarcza i jej zwalczanie, Wyd. </w:t>
            </w:r>
            <w:proofErr w:type="spellStart"/>
            <w:r w:rsidRPr="00475743">
              <w:rPr>
                <w:rFonts w:ascii="Times New Roman" w:hAnsi="Times New Roman" w:cs="Times New Roman"/>
              </w:rPr>
              <w:t>Naukowe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75743">
              <w:rPr>
                <w:rFonts w:ascii="Times New Roman" w:hAnsi="Times New Roman" w:cs="Times New Roman"/>
              </w:rPr>
              <w:t>PWN Warszawa 1994</w:t>
            </w:r>
          </w:p>
        </w:tc>
      </w:tr>
      <w:tr w:rsidR="00850070">
        <w:tc>
          <w:tcPr>
            <w:tcW w:w="266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4560EB" w:rsidRDefault="00475743" w:rsidP="0047574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560EB">
              <w:rPr>
                <w:rFonts w:ascii="Times New Roman" w:hAnsi="Times New Roman" w:cs="Times New Roman"/>
                <w:color w:val="000000"/>
                <w:lang w:val="pl-PL"/>
              </w:rPr>
              <w:t>J. Wójcik, Oszustwa finansowe: zagadnienia kryminologiczne i kryminalistyczne, JWW, Warszawa, 2008</w:t>
            </w:r>
          </w:p>
          <w:p w:rsidR="00850070" w:rsidRPr="004560EB" w:rsidRDefault="00475743" w:rsidP="0047574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560EB">
              <w:rPr>
                <w:rFonts w:ascii="Times New Roman" w:hAnsi="Times New Roman" w:cs="Times New Roman"/>
                <w:color w:val="000000"/>
                <w:lang w:val="pl-PL"/>
              </w:rPr>
              <w:t xml:space="preserve">P. </w:t>
            </w:r>
            <w:proofErr w:type="spellStart"/>
            <w:r w:rsidRPr="004560EB">
              <w:rPr>
                <w:rFonts w:ascii="Times New Roman" w:hAnsi="Times New Roman" w:cs="Times New Roman"/>
                <w:color w:val="000000"/>
                <w:lang w:val="pl-PL"/>
              </w:rPr>
              <w:t>Masiukiewicz</w:t>
            </w:r>
            <w:proofErr w:type="spellEnd"/>
            <w:r w:rsidRPr="004560EB">
              <w:rPr>
                <w:rFonts w:ascii="Times New Roman" w:hAnsi="Times New Roman" w:cs="Times New Roman"/>
                <w:color w:val="000000"/>
                <w:lang w:val="pl-PL"/>
              </w:rPr>
              <w:t>, Piramidy finansowe: teoria, regulacje, praktyka, PWN SA, Warszawa, 2015</w:t>
            </w:r>
          </w:p>
          <w:p w:rsidR="00850070" w:rsidRPr="004560EB" w:rsidRDefault="00475743" w:rsidP="0047574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560EB">
              <w:rPr>
                <w:rFonts w:ascii="Times New Roman" w:hAnsi="Times New Roman" w:cs="Times New Roman"/>
                <w:color w:val="000000"/>
                <w:lang w:val="pl-PL"/>
              </w:rPr>
              <w:t>L. Gardocki, Prawo karne, C. H. Beck, Warszawa, 2017</w:t>
            </w:r>
          </w:p>
          <w:p w:rsidR="00850070" w:rsidRPr="004560EB" w:rsidRDefault="00475743" w:rsidP="0047574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560EB">
              <w:rPr>
                <w:rFonts w:ascii="Times New Roman" w:hAnsi="Times New Roman" w:cs="Times New Roman"/>
                <w:color w:val="000000"/>
                <w:lang w:val="pl-PL"/>
              </w:rPr>
              <w:t>Zofia Monkiewicz, Zofia Nizińska Wybrane problemy regulacji prawnej przestępczości gospodarczej Kancelaria Sejmu. Biuro Studiów i Ekspertyz. Wydział Opinii Prawnych. Zespół Konsultacji Prawnych Warszawa 1994</w:t>
            </w:r>
          </w:p>
        </w:tc>
      </w:tr>
      <w:tr w:rsidR="00850070">
        <w:trPr>
          <w:trHeight w:val="543"/>
        </w:trPr>
        <w:tc>
          <w:tcPr>
            <w:tcW w:w="2660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praktyczne (studium przypadków z zakresu poruszanej tematyki)</w:t>
            </w:r>
          </w:p>
          <w:p w:rsidR="00850070" w:rsidRDefault="00475743">
            <w:pPr>
              <w:jc w:val="both"/>
            </w:pPr>
            <w:r>
              <w:rPr>
                <w:sz w:val="22"/>
                <w:szCs w:val="22"/>
              </w:rPr>
              <w:t>Metody podające (dyskusje, objaśnienia)</w:t>
            </w:r>
          </w:p>
        </w:tc>
      </w:tr>
    </w:tbl>
    <w:p w:rsidR="00850070" w:rsidRDefault="00850070">
      <w:pPr>
        <w:rPr>
          <w:sz w:val="22"/>
          <w:szCs w:val="22"/>
        </w:rPr>
      </w:pPr>
    </w:p>
    <w:tbl>
      <w:tblPr>
        <w:tblW w:w="10008" w:type="dxa"/>
        <w:tblInd w:w="-59" w:type="dxa"/>
        <w:tblBorders>
          <w:top w:val="single" w:sz="4" w:space="0" w:color="00000A"/>
          <w:left w:val="single" w:sz="12" w:space="0" w:color="00000A"/>
          <w:bottom w:val="single" w:sz="2" w:space="0" w:color="00000A"/>
          <w:right w:val="single" w:sz="4" w:space="0" w:color="00000A"/>
          <w:insideH w:val="single" w:sz="2" w:space="0" w:color="00000A"/>
          <w:insideV w:val="single" w:sz="4" w:space="0" w:color="00000A"/>
        </w:tblBorders>
        <w:tblCellMar>
          <w:left w:w="47" w:type="dxa"/>
        </w:tblCellMar>
        <w:tblLook w:val="01E0"/>
      </w:tblPr>
      <w:tblGrid>
        <w:gridCol w:w="2660"/>
        <w:gridCol w:w="5548"/>
        <w:gridCol w:w="1800"/>
      </w:tblGrid>
      <w:tr w:rsidR="00850070">
        <w:tc>
          <w:tcPr>
            <w:tcW w:w="8207" w:type="dxa"/>
            <w:gridSpan w:val="2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shd w:val="clear" w:color="auto" w:fill="auto"/>
            <w:tcMar>
              <w:left w:w="97" w:type="dxa"/>
            </w:tcMar>
            <w:vAlign w:val="center"/>
          </w:tcPr>
          <w:p w:rsidR="00850070" w:rsidRDefault="00850070">
            <w:pPr>
              <w:jc w:val="center"/>
              <w:rPr>
                <w:sz w:val="22"/>
                <w:szCs w:val="22"/>
              </w:rPr>
            </w:pPr>
          </w:p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850070">
        <w:tc>
          <w:tcPr>
            <w:tcW w:w="8207" w:type="dxa"/>
            <w:gridSpan w:val="2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 z tematyki ćwiczeń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shd w:val="clear" w:color="auto" w:fill="auto"/>
            <w:tcMar>
              <w:left w:w="97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</w:p>
        </w:tc>
      </w:tr>
      <w:tr w:rsidR="00850070">
        <w:tc>
          <w:tcPr>
            <w:tcW w:w="820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Aktywność w trakcie ćwiczeń 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7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04, 05, 06, 07, 08</w:t>
            </w:r>
          </w:p>
        </w:tc>
      </w:tr>
      <w:tr w:rsidR="00850070">
        <w:tc>
          <w:tcPr>
            <w:tcW w:w="820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50070" w:rsidRDefault="0085007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7" w:type="dxa"/>
            </w:tcMar>
          </w:tcPr>
          <w:p w:rsidR="00850070" w:rsidRDefault="0085007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50070">
        <w:tc>
          <w:tcPr>
            <w:tcW w:w="2660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50070" w:rsidRDefault="0047574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7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kolokwium – 80% oceny końcowej</w:t>
            </w:r>
          </w:p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na ćwiczeniach – 20% oceny końcowej</w:t>
            </w:r>
          </w:p>
        </w:tc>
      </w:tr>
    </w:tbl>
    <w:p w:rsidR="00850070" w:rsidRDefault="00850070">
      <w:pPr>
        <w:rPr>
          <w:sz w:val="22"/>
          <w:szCs w:val="22"/>
        </w:rPr>
      </w:pPr>
    </w:p>
    <w:p w:rsidR="00850070" w:rsidRDefault="00850070">
      <w:pPr>
        <w:rPr>
          <w:sz w:val="22"/>
          <w:szCs w:val="22"/>
        </w:rPr>
      </w:pPr>
    </w:p>
    <w:p w:rsidR="00850070" w:rsidRDefault="00850070">
      <w:pPr>
        <w:rPr>
          <w:sz w:val="22"/>
          <w:szCs w:val="22"/>
        </w:rPr>
      </w:pPr>
    </w:p>
    <w:p w:rsidR="00850070" w:rsidRDefault="00850070">
      <w:pPr>
        <w:rPr>
          <w:sz w:val="22"/>
          <w:szCs w:val="22"/>
        </w:rPr>
      </w:pPr>
    </w:p>
    <w:p w:rsidR="00850070" w:rsidRDefault="00850070">
      <w:pPr>
        <w:rPr>
          <w:sz w:val="22"/>
          <w:szCs w:val="22"/>
        </w:rPr>
      </w:pPr>
    </w:p>
    <w:p w:rsidR="00850070" w:rsidRDefault="00850070">
      <w:pPr>
        <w:rPr>
          <w:sz w:val="22"/>
          <w:szCs w:val="22"/>
        </w:rPr>
      </w:pPr>
    </w:p>
    <w:tbl>
      <w:tblPr>
        <w:tblW w:w="10008" w:type="dxa"/>
        <w:tblInd w:w="-9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850070">
        <w:tc>
          <w:tcPr>
            <w:tcW w:w="10008" w:type="dxa"/>
            <w:gridSpan w:val="3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850070">
            <w:pPr>
              <w:rPr>
                <w:sz w:val="22"/>
                <w:szCs w:val="22"/>
              </w:rPr>
            </w:pPr>
          </w:p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850070" w:rsidRDefault="00850070">
            <w:pPr>
              <w:rPr>
                <w:color w:val="FF0000"/>
                <w:sz w:val="22"/>
                <w:szCs w:val="22"/>
              </w:rPr>
            </w:pPr>
          </w:p>
        </w:tc>
      </w:tr>
      <w:tr w:rsidR="008500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8500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070" w:rsidRDefault="0047574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50070">
        <w:trPr>
          <w:trHeight w:val="262"/>
        </w:trPr>
        <w:tc>
          <w:tcPr>
            <w:tcW w:w="507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Default="008500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>
            <w:pPr>
              <w:jc w:val="center"/>
              <w:rPr>
                <w:sz w:val="22"/>
                <w:szCs w:val="22"/>
              </w:rPr>
            </w:pP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>
            <w:pPr>
              <w:jc w:val="center"/>
              <w:rPr>
                <w:sz w:val="22"/>
                <w:szCs w:val="22"/>
              </w:rPr>
            </w:pP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850070">
            <w:pPr>
              <w:jc w:val="center"/>
              <w:rPr>
                <w:sz w:val="22"/>
                <w:szCs w:val="22"/>
              </w:rPr>
            </w:pP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Default="00475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850070">
        <w:trPr>
          <w:trHeight w:val="236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</w:tcPr>
          <w:p w:rsidR="00850070" w:rsidRDefault="004757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0070">
        <w:trPr>
          <w:trHeight w:val="236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</w:tcPr>
          <w:p w:rsidR="00850070" w:rsidRDefault="004757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- 2</w:t>
            </w: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</w:tcPr>
          <w:p w:rsidR="00850070" w:rsidRDefault="00475743">
            <w:pPr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850070">
        <w:trPr>
          <w:trHeight w:val="262"/>
        </w:trPr>
        <w:tc>
          <w:tcPr>
            <w:tcW w:w="5070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</w:tcPr>
          <w:p w:rsidR="00850070" w:rsidRDefault="004757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  <w:vAlign w:val="center"/>
          </w:tcPr>
          <w:p w:rsidR="00850070" w:rsidRDefault="00475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850070" w:rsidRDefault="00850070"/>
    <w:p w:rsidR="00850070" w:rsidRDefault="00850070"/>
    <w:p w:rsidR="00850070" w:rsidRDefault="00850070"/>
    <w:p w:rsidR="00850070" w:rsidRDefault="00850070"/>
    <w:sectPr w:rsidR="00850070" w:rsidSect="00580EA1">
      <w:pgSz w:w="11906" w:h="16838"/>
      <w:pgMar w:top="720" w:right="720" w:bottom="720" w:left="720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24AF"/>
    <w:multiLevelType w:val="hybridMultilevel"/>
    <w:tmpl w:val="25EE6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A02DC8"/>
    <w:multiLevelType w:val="hybridMultilevel"/>
    <w:tmpl w:val="0B16C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850070"/>
    <w:rsid w:val="004560EB"/>
    <w:rsid w:val="00475743"/>
    <w:rsid w:val="00580EA1"/>
    <w:rsid w:val="0085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 w:cs="Times New Roman"/>
      <w:color w:val="00000A"/>
      <w:szCs w:val="20"/>
      <w:lang w:val="pl-PL" w:eastAsia="pl-PL" w:bidi="ar-SA"/>
    </w:rPr>
  </w:style>
  <w:style w:type="paragraph" w:styleId="Nagwek1">
    <w:name w:val="heading 1"/>
    <w:basedOn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83126"/>
    <w:rPr>
      <w:rFonts w:asciiTheme="minorHAnsi" w:hAns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customStyle="1" w:styleId="Wyrnienie">
    <w:name w:val="Wyróżnienie"/>
    <w:uiPriority w:val="20"/>
    <w:qFormat/>
    <w:rsid w:val="00C83126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83126"/>
  </w:style>
  <w:style w:type="character" w:customStyle="1" w:styleId="CytatZnak">
    <w:name w:val="Cytat Znak"/>
    <w:basedOn w:val="Domylnaczcionkaakapitu"/>
    <w:link w:val="Cytat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00000A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00000A"/>
    </w:rPr>
  </w:style>
  <w:style w:type="character" w:customStyle="1" w:styleId="AWniosekZnak">
    <w:name w:val="A_Wniosek Znak"/>
    <w:basedOn w:val="Nagwek1Znak"/>
    <w:link w:val="AWniosek"/>
    <w:qFormat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next w:val="Tekstpodstawowy"/>
    <w:qFormat/>
    <w:rsid w:val="00580E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580EA1"/>
    <w:pPr>
      <w:spacing w:after="140" w:line="288" w:lineRule="auto"/>
    </w:pPr>
  </w:style>
  <w:style w:type="paragraph" w:styleId="Lista">
    <w:name w:val="List"/>
    <w:basedOn w:val="Tekstpodstawowy"/>
    <w:rsid w:val="00580EA1"/>
    <w:rPr>
      <w:rFonts w:cs="Mangal"/>
    </w:rPr>
  </w:style>
  <w:style w:type="paragraph" w:styleId="Legenda">
    <w:name w:val="caption"/>
    <w:basedOn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customStyle="1" w:styleId="Indeks">
    <w:name w:val="Indeks"/>
    <w:basedOn w:val="Normalny"/>
    <w:qFormat/>
    <w:rsid w:val="00580EA1"/>
    <w:pPr>
      <w:suppressLineNumbers/>
    </w:pPr>
    <w:rPr>
      <w:rFonts w:cs="Mangal"/>
    </w:rPr>
  </w:style>
  <w:style w:type="paragraph" w:styleId="Tytu">
    <w:name w:val="Title"/>
    <w:basedOn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paragraph" w:styleId="Podtytu">
    <w:name w:val="Subtitle"/>
    <w:basedOn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paragraph" w:styleId="Cytatintensywny">
    <w:name w:val="Intense Quote"/>
    <w:basedOn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paragraph" w:styleId="Nagwekspisutreci">
    <w:name w:val="TOC Heading"/>
    <w:basedOn w:val="Nagwek1"/>
    <w:uiPriority w:val="39"/>
    <w:semiHidden/>
    <w:unhideWhenUsed/>
    <w:qFormat/>
    <w:rsid w:val="00C83126"/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00000A"/>
      <w:lang w:eastAsia="pl-PL"/>
    </w:rPr>
  </w:style>
  <w:style w:type="paragraph" w:customStyle="1" w:styleId="Zawartotabeli">
    <w:name w:val="Zawartość tabeli"/>
    <w:basedOn w:val="Normalny"/>
    <w:qFormat/>
    <w:rsid w:val="00580EA1"/>
  </w:style>
  <w:style w:type="paragraph" w:customStyle="1" w:styleId="Nagwektabeli">
    <w:name w:val="Nagłówek tabeli"/>
    <w:basedOn w:val="Zawartotabeli"/>
    <w:qFormat/>
    <w:rsid w:val="00580EA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883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Krzysztof</cp:lastModifiedBy>
  <cp:revision>3</cp:revision>
  <dcterms:created xsi:type="dcterms:W3CDTF">2019-06-27T16:48:00Z</dcterms:created>
  <dcterms:modified xsi:type="dcterms:W3CDTF">2019-07-15T10:21:00Z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